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90" w:rsidRDefault="00DB3B90" w:rsidP="00DB3B90">
      <w:pPr>
        <w:pStyle w:val="a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B3B90" w:rsidRDefault="00DB3B90" w:rsidP="00DB3B90">
      <w:pPr>
        <w:pStyle w:val="a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DB3B90" w:rsidRDefault="00DB3B90" w:rsidP="00DB3B90">
      <w:pPr>
        <w:pStyle w:val="a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DB3B90" w:rsidRDefault="00DB3B90" w:rsidP="00DB3B90">
      <w:pPr>
        <w:pStyle w:val="a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DB3B90" w:rsidRDefault="00DB3B90" w:rsidP="00DB3B90">
      <w:pPr>
        <w:pStyle w:val="a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752623" w:rsidRDefault="00DB3B90" w:rsidP="00DB3B90">
      <w:pPr>
        <w:pStyle w:val="a3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CD700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CD7003" w:rsidRPr="00752623">
        <w:rPr>
          <w:rFonts w:ascii="GHEA Grapalat" w:hAnsi="GHEA Grapalat" w:cs="Sylfaen"/>
          <w:i/>
          <w:sz w:val="16"/>
        </w:rPr>
        <w:t xml:space="preserve"> N</w:t>
      </w:r>
      <w:r w:rsidR="00CD7003">
        <w:rPr>
          <w:rFonts w:ascii="GHEA Grapalat" w:hAnsi="GHEA Grapalat" w:cs="Sylfaen"/>
          <w:i/>
          <w:sz w:val="16"/>
        </w:rPr>
        <w:t xml:space="preserve"> 4</w:t>
      </w:r>
      <w:r w:rsidR="00CD7003"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C00B7A" w:rsidRDefault="00C00B7A" w:rsidP="00C00B7A">
      <w:pPr>
        <w:pStyle w:val="a5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C00B7A">
        <w:rPr>
          <w:rFonts w:ascii="GHEA Grapalat" w:hAnsi="GHEA Grapalat" w:cs="Sylfaen"/>
          <w:i/>
          <w:sz w:val="20"/>
        </w:rPr>
        <w:t xml:space="preserve">                         </w:t>
      </w:r>
      <w:r>
        <w:rPr>
          <w:rFonts w:ascii="GHEA Grapalat" w:hAnsi="GHEA Grapalat" w:cs="Sylfaen"/>
          <w:i/>
          <w:sz w:val="20"/>
        </w:rPr>
        <w:t xml:space="preserve">                                                                                                       </w:t>
      </w:r>
      <w:r w:rsidRPr="00C00B7A">
        <w:rPr>
          <w:rFonts w:ascii="GHEA Grapalat" w:hAnsi="GHEA Grapalat" w:cs="Sylfaen"/>
          <w:i/>
          <w:sz w:val="20"/>
        </w:rPr>
        <w:t xml:space="preserve"> </w:t>
      </w:r>
      <w:proofErr w:type="spellStart"/>
      <w:r w:rsidR="00CD7003" w:rsidRPr="00C00B7A">
        <w:rPr>
          <w:rFonts w:ascii="GHEA Grapalat" w:hAnsi="GHEA Grapalat" w:cs="Sylfaen"/>
          <w:i/>
          <w:sz w:val="20"/>
        </w:rPr>
        <w:t>Օրինակելի</w:t>
      </w:r>
      <w:proofErr w:type="spellEnd"/>
      <w:r w:rsidR="00CD7003" w:rsidRPr="00C00B7A">
        <w:rPr>
          <w:rFonts w:ascii="GHEA Grapalat" w:hAnsi="GHEA Grapalat" w:cs="Sylfaen"/>
          <w:i/>
          <w:sz w:val="20"/>
          <w:lang w:val="af-ZA"/>
        </w:rPr>
        <w:t xml:space="preserve"> </w:t>
      </w:r>
      <w:proofErr w:type="spellStart"/>
      <w:r w:rsidR="00CD7003" w:rsidRPr="00C00B7A">
        <w:rPr>
          <w:rFonts w:ascii="GHEA Grapalat" w:hAnsi="GHEA Grapalat" w:cs="Sylfaen"/>
          <w:i/>
          <w:sz w:val="20"/>
        </w:rPr>
        <w:t>ձև</w:t>
      </w:r>
      <w:proofErr w:type="spellEnd"/>
      <w:r w:rsidRPr="00C00B7A">
        <w:rPr>
          <w:rFonts w:ascii="GHEA Grapalat" w:hAnsi="GHEA Grapalat" w:cs="Sylfaen"/>
          <w:i/>
          <w:sz w:val="20"/>
          <w:lang w:val="af-ZA"/>
        </w:rPr>
        <w:br/>
      </w:r>
      <w:r w:rsidR="00CD7003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>
        <w:rPr>
          <w:rFonts w:ascii="GHEA Grapalat" w:hAnsi="GHEA Grapalat" w:cs="Sylfaen"/>
          <w:b/>
          <w:sz w:val="20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687E85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C00B7A">
        <w:rPr>
          <w:rFonts w:ascii="GHEA Grapalat" w:hAnsi="GHEA Grapalat" w:cs="Sylfaen"/>
          <w:sz w:val="20"/>
          <w:u w:val="single"/>
          <w:lang w:val="af-ZA"/>
        </w:rPr>
        <w:t>Կապանի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N</w:t>
      </w:r>
      <w:r w:rsidR="00C00B7A">
        <w:rPr>
          <w:rFonts w:ascii="GHEA Grapalat" w:hAnsi="GHEA Grapalat" w:cs="Sylfaen"/>
          <w:sz w:val="20"/>
          <w:u w:val="single"/>
          <w:lang w:val="af-ZA"/>
        </w:rPr>
        <w:t>5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հիմնական դպրոց&gt;&gt; ՊՈԱԿ</w:t>
      </w:r>
      <w:r w:rsidR="00167EE9">
        <w:rPr>
          <w:rFonts w:ascii="GHEA Grapalat" w:hAnsi="GHEA Grapalat" w:cs="Sylfaen"/>
          <w:sz w:val="20"/>
          <w:u w:val="single"/>
          <w:lang w:val="af-ZA"/>
        </w:rPr>
        <w:t>-</w:t>
      </w:r>
      <w:r w:rsidR="000F3BBF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7C2723">
        <w:rPr>
          <w:rFonts w:ascii="GHEA Grapalat" w:hAnsi="GHEA Grapalat" w:cs="Sylfaen"/>
          <w:sz w:val="20"/>
          <w:lang w:val="af-ZA"/>
        </w:rPr>
        <w:t xml:space="preserve"> </w:t>
      </w:r>
      <w:r w:rsidRPr="00687E85">
        <w:rPr>
          <w:rFonts w:ascii="GHEA Grapalat" w:hAnsi="GHEA Grapalat" w:cs="Sylfaen"/>
          <w:sz w:val="20"/>
          <w:lang w:val="af-ZA"/>
        </w:rPr>
        <w:t xml:space="preserve"> մասնակի վերանորոգման աշխատանքների որակի տեխնիկական հսկողության ծառայությունների </w:t>
      </w:r>
      <w:r w:rsidR="00CD7003">
        <w:rPr>
          <w:rFonts w:ascii="GHEA Grapalat" w:hAnsi="GHEA Grapalat" w:cs="Sylfaen"/>
          <w:sz w:val="20"/>
          <w:lang w:val="af-ZA"/>
        </w:rPr>
        <w:t>ձ</w:t>
      </w:r>
      <w:r w:rsidR="00FA69B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A15052">
        <w:rPr>
          <w:rFonts w:ascii="GHEA Grapalat" w:hAnsi="GHEA Grapalat"/>
          <w:i/>
          <w:sz w:val="16"/>
          <w:szCs w:val="16"/>
          <w:lang w:val="af-ZA"/>
        </w:rPr>
        <w:t xml:space="preserve">  </w:t>
      </w:r>
      <w:r w:rsidR="00A15052" w:rsidRPr="00C00B7A">
        <w:rPr>
          <w:rFonts w:ascii="GHEA Grapalat" w:hAnsi="GHEA Grapalat"/>
          <w:b/>
          <w:sz w:val="16"/>
          <w:szCs w:val="16"/>
          <w:u w:val="single"/>
          <w:lang w:val="af-ZA"/>
        </w:rPr>
        <w:t>«ՍՄ-ԿՀ5ՀԴ</w:t>
      </w:r>
      <w:r w:rsidR="00A15052">
        <w:rPr>
          <w:rFonts w:ascii="GHEA Grapalat" w:hAnsi="GHEA Grapalat"/>
          <w:b/>
          <w:u w:val="single"/>
          <w:lang w:val="af-ZA"/>
        </w:rPr>
        <w:t xml:space="preserve"> -</w:t>
      </w:r>
      <w:r w:rsidR="00A15052">
        <w:rPr>
          <w:rFonts w:ascii="GHEA Grapalat" w:hAnsi="GHEA Grapalat"/>
          <w:b/>
          <w:sz w:val="16"/>
          <w:szCs w:val="16"/>
          <w:u w:val="single"/>
          <w:lang w:val="af-ZA"/>
        </w:rPr>
        <w:t xml:space="preserve"> ՄԱԾ</w:t>
      </w:r>
      <w:r w:rsidR="00A15052" w:rsidRPr="00C00B7A">
        <w:rPr>
          <w:rFonts w:ascii="GHEA Grapalat" w:hAnsi="GHEA Grapalat"/>
          <w:b/>
          <w:sz w:val="16"/>
          <w:szCs w:val="16"/>
          <w:u w:val="single"/>
          <w:lang w:val="af-ZA"/>
        </w:rPr>
        <w:t>ՁԲ-18/</w:t>
      </w:r>
      <w:r w:rsidR="00A15052" w:rsidRPr="00050FCF">
        <w:rPr>
          <w:rFonts w:ascii="GHEA Grapalat" w:hAnsi="GHEA Grapalat"/>
          <w:b/>
          <w:sz w:val="16"/>
          <w:szCs w:val="16"/>
          <w:u w:val="single"/>
          <w:lang w:val="af-ZA"/>
        </w:rPr>
        <w:t>3</w:t>
      </w:r>
      <w:r w:rsidR="00A15052" w:rsidRPr="00C00B7A">
        <w:rPr>
          <w:rFonts w:ascii="GHEA Grapalat" w:hAnsi="GHEA Grapalat"/>
          <w:b/>
          <w:sz w:val="16"/>
          <w:szCs w:val="16"/>
          <w:u w:val="single"/>
          <w:lang w:val="af-ZA"/>
        </w:rPr>
        <w:t>»</w:t>
      </w:r>
      <w:r w:rsidR="00A15052">
        <w:rPr>
          <w:rFonts w:ascii="GHEA Grapalat" w:hAnsi="GHEA Grapalat"/>
          <w:b/>
          <w:u w:val="single"/>
          <w:lang w:val="af-ZA"/>
        </w:rPr>
        <w:t xml:space="preserve"> </w:t>
      </w:r>
      <w:r w:rsidR="00A15052" w:rsidRPr="00C00B7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DB3B90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B3B9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DB3B90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DB3B90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DB3B90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B3B90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B3B90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B3B90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75F60" w:rsidRPr="00464D1B" w:rsidTr="000F3BB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75F60" w:rsidRPr="00DB3B90" w:rsidRDefault="00075F60" w:rsidP="000F3BBF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DB3B90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B3B90" w:rsidRDefault="00075F60" w:rsidP="00C00B7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 w:rsidR="00C00B7A"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>Կապան</w:t>
            </w:r>
            <w:r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>ի N</w:t>
            </w:r>
            <w:r w:rsidR="00C00B7A"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>5</w:t>
            </w:r>
            <w:r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հիմնական դպրոց&gt;&gt; ՊՈԱԿ-ի  </w:t>
            </w:r>
            <w:r w:rsidR="00C00B7A"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թիվ 1 մասնաշենքի </w:t>
            </w:r>
            <w:r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 վերանորոգման աշխատանք</w:t>
            </w:r>
            <w:r w:rsidR="00167EE9">
              <w:rPr>
                <w:rFonts w:ascii="GHEA Grapalat" w:hAnsi="GHEA Grapalat" w:cs="Sylfaen"/>
                <w:sz w:val="16"/>
                <w:szCs w:val="16"/>
                <w:lang w:val="af-ZA"/>
              </w:rPr>
              <w:br/>
            </w:r>
            <w:r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>ների որակի տեխնիկական հսկողության ծառայություն</w:t>
            </w:r>
            <w:r w:rsidR="00167EE9">
              <w:rPr>
                <w:rFonts w:ascii="GHEA Grapalat" w:hAnsi="GHEA Grapalat" w:cs="Sylfaen"/>
                <w:sz w:val="16"/>
                <w:szCs w:val="16"/>
                <w:lang w:val="af-ZA"/>
              </w:rPr>
              <w:br/>
            </w:r>
            <w:r w:rsidRPr="00DB3B90">
              <w:rPr>
                <w:rFonts w:ascii="GHEA Grapalat" w:hAnsi="GHEA Grapalat" w:cs="Sylfaen"/>
                <w:sz w:val="16"/>
                <w:szCs w:val="16"/>
                <w:lang w:val="af-ZA"/>
              </w:rPr>
              <w:t>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B3B90" w:rsidRDefault="00075F60" w:rsidP="000F3BB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B3B90" w:rsidRDefault="00075F60" w:rsidP="000F3BB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B3B90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B3B90" w:rsidRDefault="00075F60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B3B90" w:rsidRDefault="00B278F7" w:rsidP="000F3BBF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179000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B3B90" w:rsidRDefault="00167EE9" w:rsidP="00464D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</w:t>
            </w:r>
            <w:r w:rsidR="00464D1B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79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B3B90" w:rsidRDefault="00075F60" w:rsidP="00134518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B3B90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 հսկողությունը պետք է իրականացվի պատվիրատուի կողմից տրամադրվող նախագծանախա</w:t>
            </w:r>
            <w:r w:rsidR="00167EE9">
              <w:rPr>
                <w:rFonts w:ascii="GHEA Grapalat" w:hAnsi="GHEA Grapalat" w:cs="Sylfaen"/>
                <w:sz w:val="16"/>
                <w:szCs w:val="16"/>
              </w:rPr>
              <w:br/>
            </w:r>
            <w:r w:rsidRPr="00DB3B90">
              <w:rPr>
                <w:rFonts w:ascii="GHEA Grapalat" w:hAnsi="GHEA Grapalat" w:cs="Sylfaen"/>
                <w:sz w:val="16"/>
                <w:szCs w:val="16"/>
                <w:lang w:val="hy-AM"/>
              </w:rPr>
              <w:t>հաշվային</w:t>
            </w:r>
            <w:r w:rsidRPr="00DB3B9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DB3B90">
              <w:rPr>
                <w:rFonts w:ascii="GHEA Grapalat" w:hAnsi="GHEA Grapalat" w:cs="Sylfaen"/>
                <w:sz w:val="16"/>
                <w:szCs w:val="16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</w:t>
            </w:r>
            <w:r w:rsidR="00167EE9">
              <w:rPr>
                <w:rFonts w:ascii="GHEA Grapalat" w:hAnsi="GHEA Grapalat" w:cs="Sylfaen"/>
                <w:sz w:val="16"/>
                <w:szCs w:val="16"/>
              </w:rPr>
              <w:br/>
            </w:r>
            <w:r w:rsidRPr="00DB3B90">
              <w:rPr>
                <w:rFonts w:ascii="GHEA Grapalat" w:hAnsi="GHEA Grapalat" w:cs="Sylfaen"/>
                <w:sz w:val="16"/>
                <w:szCs w:val="16"/>
                <w:lang w:val="hy-AM"/>
              </w:rPr>
              <w:t>ներին և այլ պայմանագրային փաստաթղթերին համապատասխան։</w:t>
            </w:r>
          </w:p>
          <w:p w:rsidR="00075F60" w:rsidRPr="00DB3B90" w:rsidRDefault="00075F60" w:rsidP="001345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B3B90" w:rsidRDefault="00075F60" w:rsidP="00134518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B3B90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 հսկողությունը պետք է իրականացվի պատվիրատուի կողմից տրամադրվող նախագծանախա</w:t>
            </w:r>
            <w:r w:rsidR="00167EE9" w:rsidRPr="00167EE9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  <w:r w:rsidRPr="00DB3B90">
              <w:rPr>
                <w:rFonts w:ascii="GHEA Grapalat" w:hAnsi="GHEA Grapalat" w:cs="Sylfaen"/>
                <w:sz w:val="16"/>
                <w:szCs w:val="16"/>
                <w:lang w:val="hy-AM"/>
              </w:rPr>
              <w:t>հաշվային փաստաթղթերի հիման վրա և պետք է ապահովի շինարարական աշխատանքների իրականացումը անհրաժեշտ որակով և ինժեներական նախագծերին, տեխնիկական սպեցիֆիկացիա</w:t>
            </w:r>
            <w:r w:rsidR="00167EE9" w:rsidRPr="00167EE9">
              <w:rPr>
                <w:rFonts w:ascii="GHEA Grapalat" w:hAnsi="GHEA Grapalat" w:cs="Sylfaen"/>
                <w:sz w:val="16"/>
                <w:szCs w:val="16"/>
                <w:lang w:val="hy-AM"/>
              </w:rPr>
              <w:br/>
            </w:r>
            <w:r w:rsidRPr="00DB3B90">
              <w:rPr>
                <w:rFonts w:ascii="GHEA Grapalat" w:hAnsi="GHEA Grapalat" w:cs="Sylfaen"/>
                <w:sz w:val="16"/>
                <w:szCs w:val="16"/>
                <w:lang w:val="hy-AM"/>
              </w:rPr>
              <w:t>ներին և այլ պայմանագրային փաստաթղթերին համապատասխան։</w:t>
            </w:r>
          </w:p>
          <w:p w:rsidR="00075F60" w:rsidRPr="00DB3B90" w:rsidRDefault="00075F60" w:rsidP="0013451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714623" w:rsidRPr="00464D1B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DB3B90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DB3B90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641EB0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23-րդ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4-րդ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CD7003" w:rsidRPr="00DB3B90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B3B9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DB3B9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B3B90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</w:t>
            </w:r>
            <w:r w:rsidRPr="00DB3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B3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464D1B" w:rsidP="00464D1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  <w:r w:rsidR="000F3BBF" w:rsidRPr="00DB3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0F3BBF" w:rsidRPr="00DB3B90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3134F0" w:rsidRPr="00DB3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7D2455" w:rsidRPr="00DB3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2018</w:t>
            </w: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DB3B9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DB3B9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DB3B90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DB3B90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DB3B90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B3B90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B3B9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3B9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B3B9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DB3B90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DB3B90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CD7003" w:rsidRPr="00DB3B90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DB3B90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3B9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D7003" w:rsidRPr="00DB3B90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B3B90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B3B90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DB3B90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3B90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3B9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274"/>
        <w:gridCol w:w="1697"/>
        <w:gridCol w:w="1563"/>
        <w:gridCol w:w="1134"/>
        <w:gridCol w:w="1162"/>
        <w:gridCol w:w="1091"/>
        <w:gridCol w:w="1134"/>
      </w:tblGrid>
      <w:tr w:rsidR="000F3BBF" w:rsidRPr="000B6894" w:rsidTr="00687E85">
        <w:trPr>
          <w:trHeight w:val="300"/>
        </w:trPr>
        <w:tc>
          <w:tcPr>
            <w:tcW w:w="1002" w:type="dxa"/>
            <w:vMerge w:val="restart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  <w:r w:rsidRPr="00FA69BC">
              <w:rPr>
                <w:rFonts w:ascii="Arial Armenian" w:hAnsi="Arial Armeni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>Չափաբաժին</w:t>
            </w:r>
            <w:proofErr w:type="spellEnd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0F3BBF" w:rsidRPr="000B6894" w:rsidTr="00687E85">
        <w:trPr>
          <w:trHeight w:val="600"/>
        </w:trPr>
        <w:tc>
          <w:tcPr>
            <w:tcW w:w="1002" w:type="dxa"/>
            <w:vMerge/>
            <w:vAlign w:val="center"/>
            <w:hideMark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89647D" w:rsidRPr="0059388F" w:rsidRDefault="0089647D" w:rsidP="0089647D">
            <w:pPr>
              <w:spacing w:line="276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59388F">
              <w:rPr>
                <w:rFonts w:ascii="Arial LatArm" w:hAnsi="Arial LatArm"/>
                <w:sz w:val="20"/>
                <w:lang w:val="pt-BR"/>
              </w:rPr>
              <w:t>§¶ðÆÐàì   ¶ºà¦  êä À</w:t>
            </w:r>
          </w:p>
          <w:p w:rsidR="000F3BBF" w:rsidRPr="00FA69BC" w:rsidRDefault="000F3BBF" w:rsidP="0089647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FA69BC" w:rsidRDefault="00E42DCB" w:rsidP="00FA69BC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179000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687E85" w:rsidRDefault="00290EA1" w:rsidP="00464D1B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</w:t>
            </w:r>
            <w:r w:rsidR="00464D1B">
              <w:rPr>
                <w:rFonts w:ascii="GHEA Grapalat" w:hAnsi="GHEA Grapalat"/>
                <w:color w:val="000000"/>
                <w:sz w:val="20"/>
              </w:rPr>
              <w:t>79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  <w:r w:rsidR="00DB3B90">
              <w:rPr>
                <w:rFonts w:ascii="GHEA Grapalat" w:hAnsi="GHEA Grapalat"/>
                <w:color w:val="000000"/>
                <w:sz w:val="20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  <w:r w:rsidRPr="00FA69BC">
              <w:rPr>
                <w:rFonts w:ascii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FA69BC" w:rsidRDefault="00687E85" w:rsidP="00FA69BC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FA69BC" w:rsidRDefault="00464D1B" w:rsidP="00FA69BC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179000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464D1B" w:rsidP="00DB3B90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179000</w:t>
            </w:r>
          </w:p>
        </w:tc>
      </w:tr>
    </w:tbl>
    <w:p w:rsidR="00357DB8" w:rsidRDefault="00357DB8"/>
    <w:tbl>
      <w:tblPr>
        <w:tblW w:w="110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67B23" w:rsidTr="00605021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605021"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60502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60502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9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64D1B" w:rsidP="005253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15.06.2018</w:t>
            </w:r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7E85" w:rsidRDefault="00687E85" w:rsidP="0060502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2531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</w:tr>
      <w:tr w:rsidR="00CD7003" w:rsidRPr="00BF7713" w:rsidTr="00605021">
        <w:trPr>
          <w:trHeight w:val="344"/>
        </w:trPr>
        <w:tc>
          <w:tcPr>
            <w:tcW w:w="1107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464D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64D1B">
              <w:rPr>
                <w:rFonts w:ascii="GHEA Grapalat" w:hAnsi="GHEA Grapalat" w:cs="Sylfaen"/>
                <w:b/>
                <w:sz w:val="14"/>
                <w:szCs w:val="14"/>
              </w:rPr>
              <w:t>18.06.2018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64D1B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64D1B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18.06.2018</w:t>
            </w: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60502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60502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60502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60502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677BF1" w:rsidRDefault="002C2262" w:rsidP="007D0234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07996" w:rsidRPr="0059388F" w:rsidRDefault="00D07996" w:rsidP="00D07996">
            <w:pPr>
              <w:spacing w:line="276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59388F">
              <w:rPr>
                <w:rFonts w:ascii="Arial LatArm" w:hAnsi="Arial LatArm"/>
                <w:sz w:val="20"/>
                <w:lang w:val="pt-BR"/>
              </w:rPr>
              <w:t>§¶ðÆÐàì   ¶ºà¦  êä À</w:t>
            </w:r>
          </w:p>
          <w:p w:rsidR="007D0234" w:rsidRPr="00677BF1" w:rsidRDefault="007D0234" w:rsidP="007D0234">
            <w:pPr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A15052" w:rsidP="007D023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0B7A">
              <w:rPr>
                <w:rFonts w:ascii="GHEA Grapalat" w:hAnsi="GHEA Grapalat"/>
                <w:i/>
                <w:sz w:val="16"/>
                <w:szCs w:val="16"/>
                <w:lang w:val="af-ZA"/>
              </w:rPr>
              <w:t>_</w:t>
            </w:r>
            <w:r w:rsidRPr="00C00B7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«ՍՄ-ԿՀ5ՀԴ</w:t>
            </w:r>
            <w:r>
              <w:rPr>
                <w:rFonts w:ascii="GHEA Grapalat" w:hAnsi="GHEA Grapalat"/>
                <w:b/>
                <w:u w:val="single"/>
                <w:lang w:val="af-ZA"/>
              </w:rPr>
              <w:t xml:space="preserve"> -</w:t>
            </w:r>
            <w:r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 xml:space="preserve"> ՄԱԾ</w:t>
            </w:r>
            <w:r w:rsidRPr="00C00B7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ՁԲ-18/</w:t>
            </w:r>
            <w:r w:rsidRPr="00050FCF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</w:t>
            </w:r>
            <w:r w:rsidRPr="00C00B7A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»</w:t>
            </w:r>
            <w:r>
              <w:rPr>
                <w:rFonts w:ascii="GHEA Grapalat" w:hAnsi="GHEA Grapalat"/>
                <w:b/>
                <w:u w:val="single"/>
                <w:lang w:val="af-ZA"/>
              </w:rPr>
              <w:t xml:space="preserve"> </w:t>
            </w:r>
            <w:r w:rsidRPr="00C00B7A">
              <w:rPr>
                <w:rFonts w:ascii="GHEA Grapalat" w:hAnsi="GHEA Grapalat" w:cs="Sylfaen"/>
                <w:color w:val="FF0000"/>
                <w:sz w:val="20"/>
                <w:lang w:val="af-ZA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B956C9" w:rsidP="00464D1B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</w:t>
            </w:r>
            <w:r w:rsidR="00464D1B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4650A1">
              <w:rPr>
                <w:rFonts w:ascii="GHEA Grapalat" w:hAnsi="GHEA Grapalat" w:cs="Sylfaen"/>
                <w:sz w:val="18"/>
                <w:szCs w:val="18"/>
                <w:lang w:val="ru-RU"/>
              </w:rPr>
              <w:t>06</w:t>
            </w:r>
            <w:r w:rsidR="007D0234"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D0234" w:rsidRPr="00534D53" w:rsidRDefault="00A2057C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606AE8" w:rsidRDefault="00464D1B" w:rsidP="004650A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179000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605021">
        <w:trPr>
          <w:trHeight w:val="150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650A1" w:rsidRPr="00F31078" w:rsidTr="00641EB0">
        <w:trPr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677BF1" w:rsidRDefault="004650A1" w:rsidP="00641EB0">
            <w:pPr>
              <w:spacing w:after="100" w:afterAutospacing="1"/>
              <w:jc w:val="center"/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996" w:rsidRPr="0059388F" w:rsidRDefault="00D07996" w:rsidP="00D07996">
            <w:pPr>
              <w:spacing w:line="276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59388F">
              <w:rPr>
                <w:rFonts w:ascii="Arial LatArm" w:hAnsi="Arial LatArm"/>
                <w:sz w:val="20"/>
                <w:lang w:val="pt-BR"/>
              </w:rPr>
              <w:t>§¶ðÆÐàì   ¶ºà¦  êä À</w:t>
            </w:r>
          </w:p>
          <w:p w:rsidR="004650A1" w:rsidRPr="00677BF1" w:rsidRDefault="004650A1" w:rsidP="00641EB0">
            <w:pPr>
              <w:spacing w:after="100" w:afterAutospacing="1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24F" w:rsidRPr="0059388F" w:rsidRDefault="0070124F" w:rsidP="0070124F">
            <w:pPr>
              <w:spacing w:line="276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59388F">
              <w:rPr>
                <w:rFonts w:ascii="Arial LatArm" w:hAnsi="Arial LatArm"/>
                <w:sz w:val="20"/>
                <w:lang w:val="pt-BR"/>
              </w:rPr>
              <w:t>ù. ºñ¨³Ý Ð.øáã³ñ 27-36</w:t>
            </w:r>
          </w:p>
          <w:p w:rsidR="004650A1" w:rsidRPr="00641EB0" w:rsidRDefault="004650A1" w:rsidP="00641EB0">
            <w:pPr>
              <w:spacing w:after="100" w:afterAutospacing="1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605021" w:rsidRDefault="00B278F7" w:rsidP="00641EB0">
            <w:pPr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g_g_project@mail.ru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078" w:rsidRPr="00F31078" w:rsidRDefault="004650A1" w:rsidP="00F31078">
            <w:pPr>
              <w:spacing w:line="276" w:lineRule="auto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F3107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F31078" w:rsidRPr="00F31078">
              <w:rPr>
                <w:rFonts w:ascii="Arial Unicode" w:hAnsi="Arial Unicode"/>
                <w:sz w:val="18"/>
                <w:szCs w:val="18"/>
                <w:lang w:val="pt-BR"/>
              </w:rPr>
              <w:t>«</w:t>
            </w:r>
            <w:proofErr w:type="spellStart"/>
            <w:r w:rsidR="00F31078" w:rsidRPr="00F31078">
              <w:rPr>
                <w:rFonts w:ascii="Arial Unicode" w:hAnsi="Arial Unicode" w:cs="Sylfaen"/>
                <w:sz w:val="18"/>
                <w:szCs w:val="18"/>
              </w:rPr>
              <w:t>Ամերիաբանկ</w:t>
            </w:r>
            <w:proofErr w:type="spellEnd"/>
            <w:r w:rsidR="00F31078" w:rsidRPr="00F31078">
              <w:rPr>
                <w:rFonts w:ascii="Arial Unicode" w:hAnsi="Arial Unicode" w:cs="Times Armenian"/>
                <w:sz w:val="18"/>
                <w:szCs w:val="18"/>
                <w:lang w:val="pt-BR"/>
              </w:rPr>
              <w:t xml:space="preserve">» </w:t>
            </w:r>
            <w:r w:rsidR="00F31078" w:rsidRPr="00F31078">
              <w:rPr>
                <w:rFonts w:ascii="Arial Unicode" w:hAnsi="Arial Unicode" w:cs="Sylfaen"/>
                <w:sz w:val="18"/>
                <w:szCs w:val="18"/>
              </w:rPr>
              <w:t>ՓԲԸ</w:t>
            </w:r>
            <w:r w:rsidR="00F31078">
              <w:rPr>
                <w:rFonts w:ascii="Arial Unicode" w:hAnsi="Arial Unicode"/>
                <w:sz w:val="20"/>
                <w:lang w:val="pt-BR"/>
              </w:rPr>
              <w:br/>
            </w:r>
            <w:r w:rsidR="00F31078" w:rsidRPr="00F31078">
              <w:rPr>
                <w:rFonts w:ascii="Arial LatArm" w:hAnsi="Arial LatArm"/>
                <w:sz w:val="18"/>
                <w:szCs w:val="18"/>
                <w:lang w:val="pt-BR"/>
              </w:rPr>
              <w:t>1570005321090100</w:t>
            </w:r>
          </w:p>
          <w:p w:rsidR="004650A1" w:rsidRPr="00641EB0" w:rsidRDefault="004650A1" w:rsidP="00641EB0">
            <w:pPr>
              <w:widowControl w:val="0"/>
              <w:spacing w:before="100" w:beforeAutospacing="1" w:after="100" w:after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078" w:rsidRPr="0059388F" w:rsidRDefault="00F31078" w:rsidP="00F31078">
            <w:pPr>
              <w:spacing w:line="276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A74FE2">
              <w:rPr>
                <w:rFonts w:ascii="Sylfaen" w:hAnsi="Sylfaen" w:cs="Sylfaen"/>
                <w:sz w:val="20"/>
              </w:rPr>
              <w:t>ՀՎՀՀ</w:t>
            </w:r>
            <w:r w:rsidRPr="0059388F">
              <w:rPr>
                <w:rFonts w:ascii="Arial LatArm" w:hAnsi="Arial LatArm" w:cs="Times Armenian"/>
                <w:sz w:val="20"/>
                <w:lang w:val="pt-BR"/>
              </w:rPr>
              <w:t xml:space="preserve"> </w:t>
            </w:r>
            <w:r w:rsidRPr="0059388F">
              <w:rPr>
                <w:rFonts w:ascii="Arial LatArm" w:hAnsi="Arial LatArm"/>
                <w:sz w:val="20"/>
                <w:lang w:val="pt-BR"/>
              </w:rPr>
              <w:t>00060564</w:t>
            </w:r>
          </w:p>
          <w:p w:rsidR="004650A1" w:rsidRPr="00F31078" w:rsidRDefault="004650A1" w:rsidP="00641EB0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CD7003" w:rsidRPr="00F3107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464D1B" w:rsidTr="00605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F31078" w:rsidRDefault="00CD7003" w:rsidP="000F668F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F31078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464D1B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64D1B" w:rsidTr="00605021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464D1B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64D1B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464D1B" w:rsidTr="00605021">
        <w:trPr>
          <w:trHeight w:val="288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464D1B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464D1B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27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DB3B9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Կարինե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Մուսայելյան</w:t>
            </w:r>
            <w:proofErr w:type="spellEnd"/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BF7713" w:rsidRDefault="00DB3B90" w:rsidP="00DB3B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094501831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DB3B90" w:rsidRDefault="00DB3B9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B3B90">
              <w:rPr>
                <w:rFonts w:ascii="GHEA Grapalat" w:hAnsi="GHEA Grapalat"/>
                <w:i/>
                <w:sz w:val="16"/>
                <w:szCs w:val="16"/>
                <w:lang w:val="af-ZA"/>
              </w:rPr>
              <w:t>kapan5@schools.am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B90" w:rsidRPr="005358F5" w:rsidRDefault="00CD7003" w:rsidP="00DB3B90">
      <w:pPr>
        <w:pStyle w:val="a3"/>
        <w:tabs>
          <w:tab w:val="left" w:pos="5968"/>
        </w:tabs>
        <w:ind w:right="-7"/>
        <w:rPr>
          <w:rFonts w:ascii="GHEA Grapalat" w:hAnsi="GHEA Grapalat"/>
          <w:lang w:val="af-ZA"/>
        </w:rPr>
      </w:pPr>
      <w:r w:rsidRPr="005060B6">
        <w:rPr>
          <w:rFonts w:ascii="GHEA Grapalat" w:hAnsi="GHEA Grapalat" w:cs="Sylfaen"/>
          <w:lang w:val="af-ZA"/>
        </w:rPr>
        <w:t>Պատվիրատու</w:t>
      </w:r>
      <w:r w:rsidR="00DB3B90">
        <w:rPr>
          <w:rFonts w:ascii="GHEA Grapalat" w:hAnsi="GHEA Grapalat" w:cs="Sylfaen"/>
          <w:lang w:val="af-ZA"/>
        </w:rPr>
        <w:t xml:space="preserve">`    </w:t>
      </w:r>
      <w:r w:rsidR="00605021">
        <w:rPr>
          <w:rFonts w:ascii="GHEA Grapalat" w:hAnsi="GHEA Grapalat" w:cs="Sylfaen"/>
          <w:lang w:val="af-ZA"/>
        </w:rPr>
        <w:t xml:space="preserve"> </w:t>
      </w:r>
      <w:r w:rsidR="00DB3B90">
        <w:rPr>
          <w:rFonts w:ascii="Sylfaen" w:hAnsi="Sylfaen" w:cs="Sylfaen"/>
          <w:b/>
          <w:u w:val="single"/>
          <w:lang w:val="hy-AM"/>
        </w:rPr>
        <w:t xml:space="preserve">ՀՀ </w:t>
      </w:r>
      <w:r w:rsidR="00DB3B90">
        <w:rPr>
          <w:rFonts w:ascii="Sylfaen" w:hAnsi="Sylfaen" w:cs="Sylfaen"/>
          <w:b/>
          <w:u w:val="single"/>
          <w:lang w:val="af-ZA"/>
        </w:rPr>
        <w:t>ՍՅՈՒՆԻՔԻ  ՄԱՐԶ &lt;&lt; ԿԱՊԱՆԻ ԹԻՎ 5 ՀԻՄՆԱԿԱՆ ԴՊՐՈՑ</w:t>
      </w:r>
      <w:r w:rsidR="00DB3B90">
        <w:rPr>
          <w:rFonts w:ascii="Calibri" w:hAnsi="Calibri" w:cs="Sylfaen"/>
          <w:b/>
          <w:u w:val="single"/>
          <w:lang w:val="af-ZA"/>
        </w:rPr>
        <w:t xml:space="preserve">&gt;&gt; </w:t>
      </w:r>
      <w:r w:rsidR="00DB3B90">
        <w:rPr>
          <w:rFonts w:ascii="Sylfaen" w:hAnsi="Sylfaen" w:cs="Sylfaen"/>
          <w:b/>
          <w:u w:val="single"/>
          <w:lang w:val="af-ZA"/>
        </w:rPr>
        <w:t>ՊՈԱԿ</w:t>
      </w:r>
    </w:p>
    <w:p w:rsidR="00CD7003" w:rsidRPr="00DB3B90" w:rsidRDefault="00CD7003" w:rsidP="00075F60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B0" w:rsidRDefault="00A936B0" w:rsidP="00CD7003">
      <w:r>
        <w:separator/>
      </w:r>
    </w:p>
  </w:endnote>
  <w:endnote w:type="continuationSeparator" w:id="0">
    <w:p w:rsidR="00A936B0" w:rsidRDefault="00A936B0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B0" w:rsidRDefault="00A936B0" w:rsidP="00CD7003">
      <w:r>
        <w:separator/>
      </w:r>
    </w:p>
  </w:footnote>
  <w:footnote w:type="continuationSeparator" w:id="0">
    <w:p w:rsidR="00A936B0" w:rsidRDefault="00A936B0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7CDA"/>
    <w:rsid w:val="00022D94"/>
    <w:rsid w:val="0004078E"/>
    <w:rsid w:val="000577B6"/>
    <w:rsid w:val="00073C95"/>
    <w:rsid w:val="00075F60"/>
    <w:rsid w:val="000F3BBF"/>
    <w:rsid w:val="000F668F"/>
    <w:rsid w:val="001214F8"/>
    <w:rsid w:val="001242B6"/>
    <w:rsid w:val="00127CA8"/>
    <w:rsid w:val="00146755"/>
    <w:rsid w:val="00167EE9"/>
    <w:rsid w:val="00211610"/>
    <w:rsid w:val="00290EA1"/>
    <w:rsid w:val="002C2262"/>
    <w:rsid w:val="002F4551"/>
    <w:rsid w:val="003134F0"/>
    <w:rsid w:val="00340FC4"/>
    <w:rsid w:val="00357DB8"/>
    <w:rsid w:val="00367B23"/>
    <w:rsid w:val="00464D1B"/>
    <w:rsid w:val="004650A1"/>
    <w:rsid w:val="00484421"/>
    <w:rsid w:val="004C2946"/>
    <w:rsid w:val="00525311"/>
    <w:rsid w:val="00534D53"/>
    <w:rsid w:val="00545115"/>
    <w:rsid w:val="005C3855"/>
    <w:rsid w:val="005E27C5"/>
    <w:rsid w:val="00605021"/>
    <w:rsid w:val="00606AE8"/>
    <w:rsid w:val="006105CE"/>
    <w:rsid w:val="00634F6C"/>
    <w:rsid w:val="00641EB0"/>
    <w:rsid w:val="00677BF1"/>
    <w:rsid w:val="00687E85"/>
    <w:rsid w:val="00695224"/>
    <w:rsid w:val="006C1DBB"/>
    <w:rsid w:val="00700EB9"/>
    <w:rsid w:val="0070124F"/>
    <w:rsid w:val="00714623"/>
    <w:rsid w:val="00794BAF"/>
    <w:rsid w:val="007C2723"/>
    <w:rsid w:val="007D0234"/>
    <w:rsid w:val="007D2455"/>
    <w:rsid w:val="007F557A"/>
    <w:rsid w:val="008368EE"/>
    <w:rsid w:val="00861435"/>
    <w:rsid w:val="0089647D"/>
    <w:rsid w:val="00935C69"/>
    <w:rsid w:val="00944945"/>
    <w:rsid w:val="0096079E"/>
    <w:rsid w:val="00985755"/>
    <w:rsid w:val="009B35F5"/>
    <w:rsid w:val="009C2292"/>
    <w:rsid w:val="009C78C2"/>
    <w:rsid w:val="009D0ECB"/>
    <w:rsid w:val="00A15052"/>
    <w:rsid w:val="00A2057C"/>
    <w:rsid w:val="00A936B0"/>
    <w:rsid w:val="00B072B1"/>
    <w:rsid w:val="00B16BF2"/>
    <w:rsid w:val="00B278F7"/>
    <w:rsid w:val="00B956C9"/>
    <w:rsid w:val="00BE2946"/>
    <w:rsid w:val="00BE3D62"/>
    <w:rsid w:val="00BF18E3"/>
    <w:rsid w:val="00C00B7A"/>
    <w:rsid w:val="00C07D51"/>
    <w:rsid w:val="00C472B1"/>
    <w:rsid w:val="00CD7003"/>
    <w:rsid w:val="00D07996"/>
    <w:rsid w:val="00DA7B50"/>
    <w:rsid w:val="00DB3B90"/>
    <w:rsid w:val="00DD4AEC"/>
    <w:rsid w:val="00DE7D00"/>
    <w:rsid w:val="00E13EA0"/>
    <w:rsid w:val="00E3213C"/>
    <w:rsid w:val="00E35E71"/>
    <w:rsid w:val="00E42DCB"/>
    <w:rsid w:val="00EA0D67"/>
    <w:rsid w:val="00F31078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Пользователь</cp:lastModifiedBy>
  <cp:revision>2</cp:revision>
  <dcterms:created xsi:type="dcterms:W3CDTF">2018-06-18T06:33:00Z</dcterms:created>
  <dcterms:modified xsi:type="dcterms:W3CDTF">2018-06-18T06:33:00Z</dcterms:modified>
</cp:coreProperties>
</file>